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1D" w:rsidRPr="000F009B" w:rsidRDefault="000B791D" w:rsidP="000F009B">
      <w:pPr>
        <w:rPr>
          <w:rFonts w:ascii="Arial" w:eastAsia="Times New Roman" w:hAnsi="Arial" w:cs="Arial"/>
          <w:noProof/>
          <w:color w:val="111111"/>
          <w:sz w:val="33"/>
          <w:szCs w:val="33"/>
          <w:lang w:eastAsia="fr-FR"/>
        </w:rPr>
      </w:pPr>
      <w:r w:rsidRPr="000B791D">
        <w:rPr>
          <w:b/>
          <w:sz w:val="48"/>
          <w:szCs w:val="48"/>
        </w:rPr>
        <w:t xml:space="preserve">Charte </w:t>
      </w:r>
      <w:proofErr w:type="spellStart"/>
      <w:r w:rsidRPr="000B791D">
        <w:rPr>
          <w:b/>
          <w:sz w:val="48"/>
          <w:szCs w:val="48"/>
        </w:rPr>
        <w:t>Anticor</w:t>
      </w:r>
      <w:proofErr w:type="spellEnd"/>
      <w:r w:rsidR="000F009B">
        <w:rPr>
          <w:b/>
          <w:sz w:val="48"/>
          <w:szCs w:val="48"/>
        </w:rPr>
        <w:t xml:space="preserve">                            </w:t>
      </w:r>
      <w:r w:rsidR="000F009B" w:rsidRPr="000B791D">
        <w:rPr>
          <w:rFonts w:ascii="Arial" w:eastAsia="Times New Roman" w:hAnsi="Arial" w:cs="Arial"/>
          <w:noProof/>
          <w:color w:val="111111"/>
          <w:sz w:val="33"/>
          <w:szCs w:val="33"/>
          <w:lang w:eastAsia="fr-FR"/>
        </w:rPr>
        <w:drawing>
          <wp:inline distT="0" distB="0" distL="0" distR="0" wp14:anchorId="0E3A6AD2" wp14:editId="7220B601">
            <wp:extent cx="2857500" cy="1524000"/>
            <wp:effectExtent l="0" t="0" r="0" b="0"/>
            <wp:docPr id="1" name="Image 1" descr="https://www.anticor.org/wp-content/uploads/2019/10/propositions-2020-300x16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ticor.org/wp-content/uploads/2019/10/propositions-2020-300x16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1) Disponibilité des élus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Avoir un maire qui n’exerce ni mandat départemental, régional ou national, étant entendu qu’il n’effectuera pas plus de deux mandats consécutifs.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Moduler le montant des indemnités allouées aux conseillers municipaux en fonction de leur participation effective aux séances plénières.</w:t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2) Prévention des conflits d’intérêts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place des mécanismes de détection des conflits d’intérêts afin d’indiquer, avant chaque séance plénière, les élus qui doivent se déporter.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Désigner un </w:t>
      </w:r>
      <w:hyperlink r:id="rId6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référent déontologue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(obligatoire sauf pour les communes affiliées à un centre de gestion).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Développer des formations déontologiques adaptées aux risques propres de chaque service municipal.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Interdire aux élus et aux agents publics d’accepter tout cadeau ou avantage d’une entreprise.</w:t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3) Reconnaissance du rôle des élus minoritaires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Permettre aux élus minoritaires d’exercer leur droit à la </w:t>
      </w:r>
      <w:hyperlink r:id="rId7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formation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, à l’</w:t>
      </w:r>
      <w:hyperlink r:id="rId8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information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et à l’</w:t>
      </w:r>
      <w:hyperlink r:id="rId9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expression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Proposer la vice-présidence de la commission des finances à un élu minoritaire.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Associer les élus minoritaires aux phases de négociation prévues dans les procédures d’attribution des marchés publics et des concessions.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Associer les élus minoritaires à la désignation des membres non élus de la </w:t>
      </w:r>
      <w:hyperlink r:id="rId10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Commission consultative des services publics locaux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Élargir le </w:t>
      </w:r>
      <w:hyperlink r:id="rId11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droit à la protection fonctionnelle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à tous les élus, même ceux n’ayant pas reçu de délégation de l’exécutif.</w:t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4) Transparence de l’action publique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Rendre publique l’assiduité des conseillers municipaux aux séances plénières.</w:t>
      </w:r>
    </w:p>
    <w:p w:rsidR="000F009B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Appliquer l’</w:t>
      </w:r>
      <w:hyperlink r:id="rId12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open data par défaut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(obligatoire dans les communes de plus de 3 500 habitants et disposant d’au moins 50 agents).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lastRenderedPageBreak/>
        <w:t xml:space="preserve">• Mettre en ligne les documents communicables les plus importants : délibérations, arrêtés réglementaires, </w:t>
      </w:r>
      <w:proofErr w:type="spellStart"/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comptes-rendus</w:t>
      </w:r>
      <w:proofErr w:type="spellEnd"/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 xml:space="preserve"> des séances plénières, rapports des concessionnaires, rapports annuels sur le prix et la qualité du service, observations de la chambre régionale des comptes, etc.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Suivre sans délai les avis de la Commission d’accès aux documents administratifs (CADA).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ligne le montant des indemnités perçues par chaque conseiller municipal.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ligne la liste des bénéficiaires de logement ou de voiture de fonctions.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ligne le nombre et la rémunération des collaborateurs de cabinet.</w:t>
      </w:r>
    </w:p>
    <w:p w:rsidR="000B791D" w:rsidRPr="000B791D" w:rsidRDefault="000B791D" w:rsidP="000F009B">
      <w:pPr>
        <w:shd w:val="clear" w:color="auto" w:fill="FFFFFF"/>
        <w:spacing w:before="240"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ligne les frais d’avocats engagés par la commune et les jugements rendus.</w:t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5) Lutte contre la corruption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Nommer un </w:t>
      </w:r>
      <w:hyperlink r:id="rId13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référent alerte éthique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(obligatoire dans les communes de plus de 10 000 habitants).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Suspendre de ses fonctions exécutives tout élu mis en examen pour atteinte à la probité.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Retirer définitivement les fonctions exécutives à tout élu condamné pour atteinte à la probité.</w:t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6) Contrôle de l’action municipale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place une </w:t>
      </w:r>
      <w:hyperlink r:id="rId14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Commission de contrôle financier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pour examiner les comptes détaillés des entreprises liées à la commune par une convention financière (obligatoire dans les communes ayant plus de 75 000 euros de recettes).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Encourager la formation des conseillers municipaux et rendre public le nom des organismes formateurs.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Créer une commission de suivi des contrats de la commande publique, qui examinera notamment leurs avenants et leurs contentieux.</w:t>
      </w:r>
    </w:p>
    <w:p w:rsidR="000B791D" w:rsidRPr="000B791D" w:rsidRDefault="000B791D" w:rsidP="000F009B">
      <w:pPr>
        <w:shd w:val="clear" w:color="auto" w:fill="FFFFFF"/>
        <w:spacing w:after="12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Créer une commission de surveillance des dépenses liées à la communication, aux voyages, aux réceptions, aux frais de bouche et aux invitations.</w:t>
      </w:r>
    </w:p>
    <w:p w:rsidR="000B791D" w:rsidRPr="000B791D" w:rsidRDefault="000B791D" w:rsidP="000B791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fr-FR"/>
        </w:rPr>
        <w:t>7) Participation des citoyens aux décisions locales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Mettre en place une </w:t>
      </w:r>
      <w:hyperlink r:id="rId15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Commission consultative des services publics locaux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(obligatoire dans les communes de plus de 10 000 habitants).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Associer la population aux décisions par le biais de </w:t>
      </w:r>
      <w:hyperlink r:id="rId16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consultations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 ou de </w:t>
      </w:r>
      <w:hyperlink r:id="rId17" w:history="1">
        <w:r w:rsidRPr="000B791D">
          <w:rPr>
            <w:rFonts w:ascii="Verdana" w:eastAsia="Times New Roman" w:hAnsi="Verdana" w:cs="Times New Roman"/>
            <w:color w:val="395BA2"/>
            <w:sz w:val="23"/>
            <w:szCs w:val="23"/>
            <w:u w:val="single"/>
            <w:lang w:eastAsia="fr-FR"/>
          </w:rPr>
          <w:t>référendums locaux</w:t>
        </w:r>
      </w:hyperlink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Garantir l’expression de tous les points de vue lors des procédures permettant aux citoyens de s’exprimer.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• Créer une commission d’éthique, notamment composée d’élus minoritaires et de citoyens, chargée de contrôler le respect des dispositions éthiques et de faire des préconisations.</w:t>
      </w:r>
    </w:p>
    <w:p w:rsidR="000B791D" w:rsidRPr="000B791D" w:rsidRDefault="000B791D" w:rsidP="000F009B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</w:pPr>
      <w:r w:rsidRPr="000B791D">
        <w:rPr>
          <w:rFonts w:ascii="Verdana" w:eastAsia="Times New Roman" w:hAnsi="Verdana" w:cs="Times New Roman"/>
          <w:color w:val="222222"/>
          <w:sz w:val="23"/>
          <w:szCs w:val="23"/>
          <w:lang w:eastAsia="fr-FR"/>
        </w:rPr>
        <w:t>Ces propositions ont, bien évidemment, vocation à être déclinée à l’échelon intercommunal.</w:t>
      </w:r>
      <w:bookmarkStart w:id="0" w:name="_GoBack"/>
      <w:bookmarkEnd w:id="0"/>
    </w:p>
    <w:sectPr w:rsidR="000B791D" w:rsidRPr="000B791D" w:rsidSect="000F009B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1D"/>
    <w:rsid w:val="000B791D"/>
    <w:rsid w:val="000F009B"/>
    <w:rsid w:val="00226B26"/>
    <w:rsid w:val="00C969CC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BDD7"/>
  <w15:chartTrackingRefBased/>
  <w15:docId w15:val="{7D15FA48-B6EC-4B5A-B6C4-633562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70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0633&amp;idArticle=LEGIARTI000006389870&amp;dateTexte=&amp;categorieLien=cid" TargetMode="External"/><Relationship Id="rId13" Type="http://schemas.openxmlformats.org/officeDocument/2006/relationships/hyperlink" Target="http://circulaire.legifrance.gouv.fr/pdf/2018/07/cir_43813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affichCodeArticle.do?idArticle=LEGIARTI000030426482&amp;cidTexte=LEGITEXT000006070633&amp;dateTexte=20160101" TargetMode="External"/><Relationship Id="rId12" Type="http://schemas.openxmlformats.org/officeDocument/2006/relationships/hyperlink" Target="https://www.legifrance.gouv.fr/affichCodeArticle.do?idArticle=LEGIARTI000033205512&amp;cidTexte=LEGITEXT000031366350&amp;dateTexte=20161009" TargetMode="External"/><Relationship Id="rId17" Type="http://schemas.openxmlformats.org/officeDocument/2006/relationships/hyperlink" Target="https://www.legifrance.gouv.fr/affichCodeArticle.do?cidTexte=LEGITEXT000006070633&amp;idArticle=LEGIARTI000006389033&amp;dateTexte=&amp;categorieLien=c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affichCodeArticle.do?cidTexte=LEGITEXT000006070633&amp;idArticle=LEGIARTI000006389072&amp;dateTexte=&amp;categorieLien=ci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Texte.do?cidTexte=JORFTEXT000034411018&amp;categorieLien=id" TargetMode="External"/><Relationship Id="rId11" Type="http://schemas.openxmlformats.org/officeDocument/2006/relationships/hyperlink" Target="https://www.senat.fr/questions/base/2019/qSEQ190409980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egifrance.gouv.fr/affichCodeArticle.do?idArticle=LEGIARTI000037739204&amp;cidTexte=LEGITEXT000006070633&amp;dateTexte=20190401" TargetMode="External"/><Relationship Id="rId10" Type="http://schemas.openxmlformats.org/officeDocument/2006/relationships/hyperlink" Target="https://www.legifrance.gouv.fr/affichCodeArticle.do?idArticle=LEGIARTI000037739204&amp;cidTexte=LEGITEXT000006070633&amp;dateTexte=2019040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anticor.org/wp-content/uploads/2019/10/propositions-2020.png" TargetMode="External"/><Relationship Id="rId9" Type="http://schemas.openxmlformats.org/officeDocument/2006/relationships/hyperlink" Target="https://www.legifrance.gouv.fr/affichCodeArticle.do?idArticle=LEGIARTI000006389889&amp;cidTexte=LEGITEXT000006070633&amp;dateTexte=20020228" TargetMode="External"/><Relationship Id="rId14" Type="http://schemas.openxmlformats.org/officeDocument/2006/relationships/hyperlink" Target="https://www.legifrance.gouv.fr/affichCodeArticle.do?idArticle=LEGIARTI000006397121&amp;cidTexte=LEGITEXT000006070633&amp;dateTexte=200201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2020-02-06T12:58:00Z</dcterms:created>
  <dcterms:modified xsi:type="dcterms:W3CDTF">2020-02-06T12:58:00Z</dcterms:modified>
</cp:coreProperties>
</file>